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26 vom 22. Juni 2023</w:t>
      </w:r>
    </w:p>
    <w:p>
      <w:r>
        <w:t>VS Kantonsgericht, 2023-06-22, FR</w:t>
      </w:r>
    </w:p>
    <w:p>
      <w:r>
        <w:rPr>
          <w:b/>
        </w:rPr>
        <w:t xml:space="preserve">Quelle: </w:t>
      </w:r>
      <w:r>
        <w:t>https://mcp.opencaselaw.ch/entscheid/vs_gerichte_A1 23 26</w:t>
      </w:r>
    </w:p>
    <w:p>
      <w:r>
        <w:t>FR: VS_GERICHTE A1 23 26 du 22 juin 2023</w:t>
      </w:r>
    </w:p>
    <w:p>
      <w:r>
        <w:t>IT: VS_GERICHTE A1 23 26 del 22 giugno 2023</w:t>
      </w:r>
    </w:p>
    <w:p>
      <w:pPr>
        <w:pStyle w:val="Heading2"/>
      </w:pPr>
      <w:r>
        <w:t>Regeste</w:t>
      </w:r>
    </w:p>
    <w:p>
      <w:r>
        <w:t>A1 23 26 A1 23 37 ARRÊT DU 22 JUIN 2023 Tribunal cantonal du Valais Cour de droit public Composition : Christophe Joris, président, Jean-Bernard Fournier et Dr Thierry Schnyder, juges ; en la cause X _________ SA, A _________, recourante, représentée par Maître Olivier Rodondi, avocat, 1001 Lausanne contre CONSEIL D’ETAT DU CANTON DU VALAIS, 1951 Sion, autorité attaquée, représentée par le Département des finances et de l’énergie, Service Immobilier et patrimoine, 1951 Sion, (marché public ; interruption de la procédure ; nouvel appel d’offres) recours de droit administratif contre les décisions des 25 janvier et 17 février 2023</w:t>
      </w:r>
    </w:p>
    <w:p>
      <w:pPr>
        <w:pStyle w:val="Heading2"/>
      </w:pPr>
      <w:r>
        <w:t>Erwägungen</w:t>
      </w:r>
    </w:p>
    <w:p>
      <w:r>
        <w:rPr>
          <w:b/>
        </w:rPr>
        <w:t>E. 1</w:t>
      </w:r>
    </w:p>
    <w:p>
      <w:r>
        <w:t>L’annulation de la décision du 25 janvier 2023 interrompant la procédure dans laquelle X _________ SA avait déposé une offre préserverait, en soi, ses chances de se voir adjuger le marché mis en soumission le 16 septembre 2022. Il en va de même d’une annulation de l’appel d’offres du 17 février 2023. Partant, la prénommée a un intérêt digne de protection à un contrôle juridictionnel de ces deux décisions, et donc qualité pour recourir (art. 16 al. 1 de la loi - LcAIMP - RS/VS 726.1 - concernant l’adhésion du canton du Valais à l’accord intercantonal du 25 novembre 1994 sur les marchés publics - AIMP ; art. 15 al. 1bis lit. a et e AIMP ; art. 80 al. 1 lit. a de la loi du 6 octobre 1976 sur la procédure et la juridiction administratives - LPJA - RS/VS 172.6 ; cf. p. ex. A1 23 15 du 7 juin 2023 cons. 1.2 ; ACDP A1 21 266 du 29 mars 2022 cons. 1.2.1).</w:t>
      </w:r>
    </w:p>
    <w:p>
      <w:r>
        <w:rPr>
          <w:b/>
        </w:rPr>
        <w:t>E. 2</w:t>
      </w:r>
    </w:p>
    <w:p>
      <w:r>
        <w:t>On ignore si, après la décision incidente du 14 mars 2023 de la Cour de droit public, l’appel d’offres du 17 février 2023 a abouti à l’attribution d’un marché à un tiers. Ce point n’a pas à être élucidé. Dans l’affirmative, X _________ SA conserverait la qualité pour recourir, attendu que la jurisprudence la reconnaît également au soumissionnaire évincé qui s’en prend à une décision autre que l’attribution d’un marché à l’un de ses concurrents, si l’examen de ses griefs peut déboucher sur un constat de l’illicéité de cette décision et faciliter, le cas échéant, l’octroi d’un dédommagement (art. 18 al. 2 AIMP ; art. 17 LcAIMP ; cf. arrêt du Tribunal fédéral 2C_603/2021 du 8 février 2022 cons. 7 et 7.1 citant arrêt du Tribunal fédéral 2D 42_2016 du 3 octobre 2017 cons. 1.2)</w:t>
      </w:r>
    </w:p>
    <w:p>
      <w:r>
        <w:rPr>
          <w:b/>
        </w:rPr>
        <w:t>E. 3</w:t>
      </w:r>
    </w:p>
    <w:p>
      <w:r>
        <w:t>Les recours A1 23 26 et A1 23 37 ont au surplus été interjetés dans les délais et les formes voulus (art. 16 al. 2 LcAIMP ; art. 80 al. 1 lit. c et 48 LPJA). Ils sont assez connexes pour être jugés en un seul arrêt (art. 80 al. 1 lit. d, 56 et 11b LPJA).</w:t>
      </w:r>
    </w:p>
    <w:p>
      <w:r>
        <w:rPr>
          <w:b/>
        </w:rPr>
        <w:t>E. 4</w:t>
      </w:r>
    </w:p>
    <w:p>
      <w:r>
        <w:t>Dans ce contentieux, le Tribunal s'en tient aux griefs que les recourants motivent dans les formes des articles 80 alinéa 1 lettre c et 48 alinéa 1 LPJA. Il ne statue que sur la légalité de la décision contestée, non sur son opportunité (art. 16 AIMP et 16 LcAIMP ; cf. p. ex. ACDP A1 23 15 précité cons. 1.3 citant RVJ 2017 p. 30 cons. 4).</w:t>
      </w:r>
    </w:p>
    <w:p>
      <w:r>
        <w:rPr>
          <w:b/>
        </w:rPr>
        <w:t>E. 5</w:t>
      </w:r>
    </w:p>
    <w:p>
      <w:r>
        <w:t>D’après l’art. 13 AIMP, le droit cantonal doit garantir une procédure d’examen de l’aptitude des soumissionnaires selon des critères objectifs et vérifiables (lit. d) que cette</w:t>
      </w:r>
    </w:p>
    <w:p>
      <w:r>
        <w:t>- 7 - disposition distingue des critères d’attribution (ou d’adjudication) qui doivent être « propres à adjuger le marché à l’offre économiquement la plus avantageuse » et que régit notamment l’art. 31 Omp, irrelevant ici.</w:t>
      </w:r>
    </w:p>
    <w:p>
      <w:r>
        <w:rPr>
          <w:b/>
        </w:rPr>
        <w:t>E. 6</w:t>
      </w:r>
    </w:p>
    <w:p>
      <w:r>
        <w:t>Selon l’art. 12 al. 1 Omp, « l’adjudicateur définit des critères d’aptitude objectifs et les preuves à apporter pour permettre l’évaluation de l’aptitude des soumissionnaires. Les critères d’aptitude concernent en particulier les capacités techniques, organisationnelles, financières et économiques ». A teneur de l’art. 23 al. 1 lit. a Omp, un soumissionnaire est exclu de la procédure d’adjudication si, au moment du dépôt de son offre, ou au moment de l’adjudication, il ne satisfait pas ou plus aux critères d’aptitude. Rappelé sous let. B de l’exposé des faits, l’art. 35 al. 2 lit. a Omp vise l’hypothèse où l’adjudicateur peut légalement mettre fin à une procédure et renouveler celle-ci parce qu’aucune offre ne correspond aux exigences techniques et aux critères précisés dans l’appel d’offres. L’art. 14 al. 1 Omp énonce, en outre, que l’offre doit être écrite et complète et qu’elle ne peut être modifiée une fois expiré le délai fixé pour son envoi, sauf si elle comporte des erreurs évidentes, p. ex. de calcul ou d’écriture à redresser lors de l’examen technique et comptable institué à l’art. 19 Omp. A l’occasion de ce contrôle, l’adjudicateur peut réclamer aux soumissionnaires des explications écrites sur leur aptitude ou leur offres (al. 1). Il doit transcrire ces explications s’il les recueille verbalement (al. 2).</w:t>
      </w:r>
    </w:p>
    <w:p>
      <w:r>
        <w:rPr>
          <w:b/>
        </w:rPr>
        <w:t>E. 7</w:t>
      </w:r>
    </w:p>
    <w:p>
      <w:r>
        <w:t>L’appel d’offres est une décision susceptible de recours (art. 15bis lit. a AIMP ; cf. art. 16 LcAIMP). D’où suit que l’omission d’un soumissionnaire d’utiliser cette voie de droit l’empêche, en principe, de se plaindre valablement de l’échec de son offre si ce résultat tient à l’application de critères dont il aurait pu obtenir la suppression ou la rectification en attaquant l’appel d’offres (cf. art. 80 al. 1 lit. a et 44 al. 2 LPJA). Les soumissionnaires étant souvent des non-juristes que la brièveté des délais fixés par les adjudicateurs dissuade de s’interroger sur la validité des documents d’appel d’offres, la jurisprudence tempère cette forclusion en la limitant aux affaires où l’irrégularité de critères d’aptitude ou d’adjudication est assez manifeste pour que sa critique au stade du recours contre une exclusion de la procédure ou l’attribution du marché à un tiers doive être tenue pour contraire à la bonne foi (art. 5 al. 3 Cst féd.) ou à la sécurité du droit (cf. p. ex. arrêt du Tribunal fédéral 2C_680/2020 du 10 mars 2021 cons. 1.2.3 ; arrêt du Tribunal fédéral 2C_1060/2017 du 29 octobre 2020 cons. 5.2).</w:t>
      </w:r>
    </w:p>
    <w:p>
      <w:r>
        <w:rPr>
          <w:b/>
        </w:rPr>
        <w:t>E. 8</w:t>
      </w:r>
    </w:p>
    <w:p>
      <w:r>
        <w:t>Résumées sous let. A de l’exposé des faits, les p. 14 à 18 du CC révélaient sans équivoque la volonté de l’adjudicateur d’évaluer l’aptitude des offreurs à l’aune d’une série de paramètres caractérisant l’entreprise de chacun d’eux, notamment la</w:t>
      </w:r>
    </w:p>
    <w:p>
      <w:r>
        <w:t>- 8 - composition de son personnel, et en arrêtant des nombres-seuils de diplômés, contremaîtres ou chefs d’équipe et ouvriers spécialisés. Chaque soumissionnaire devait, en remplissant les lignes vides de la p. 14 du CC, dire combien d’employés de chaque catégorie travaillaient chez lui, et dans quelle mesure ces trois catégories de salariés vérifiaient les attentes exprimées par les nombres-seuils. En somme, le lecteur ne pouvait ignorer que, sous l’angle du premier critère d’aptitude, son offre serait jaugée en fonction d’une vue d’ensemble de ses propres ressources humaines. La question de savoir comment, et dans quelle proportion, les salariés de l’offreur participeraient à l’exécution du marché s’il lui était attribué devait, comme le montraient les p. 15 et 18 du CC, être abordée dans le cadre du sous-critère d’adjudication qu’était l’organisation opérationnelle, à illustrer par l’organigramme de l’annexe 3.</w:t>
      </w:r>
    </w:p>
    <w:p>
      <w:r>
        <w:rPr>
          <w:b/>
        </w:rPr>
        <w:t>E. 9</w:t>
      </w:r>
    </w:p>
    <w:p>
      <w:r>
        <w:t>Le 13 février 2023, la recourante a allégué, en p. 9 de son mémoire, que, malgré ses nombreuses années d’expérience, « c’est pour elle une première de faire face à une telle exigence d’aptitude qui pourrait l’exclure au motif que ses ressources humaines ne seraient prétendument pas suffisantes pour assurer la bienfacture de la prestation. Il sied ici de préciser que la recourante au moment où elle a rédigé son offre n’avait pas à contester ces exigences de la p. 14 (CC), car pour elle il était logique et cohérent de pouvoir renvoyer à son annexe qui présentait sa structure et son organisation pour le projet. Ce n’est finalement qu’après le dépôt de son offre et le courrier du 24 janvier 2023 (…) qu’elle a saisi la portée – contestée – que l’autorité intimée attribuait aux critères contenus dans (le CC) ». Aux p. 11 ss de ce mémoire du 13 février 2023, X _________ SA soulignait employer « plusieurs ingénieurs et un total de 9 personnes », intervenir « dans un segment très spécifique en qualité de fournisseur et d’intégrateur, couvrant ainsi la planification, le suivi de l’installation, le contrôle, la mise en service et la maintenance de tels projets ». Elle relevait n’être « en revanche pas fabricant de groupes de secours, au même titre que toutes ses concurrentes, qui travaillent d’ailleurs de la même façon, lesquelles se structurent et s’organisent spécifiquement pour le projet à mener en collaborant avec des fabricants et des sous-traitants qui y sont intégrés ». C’est dans ce contexte que X _________ SA avait prévu d’occuper à l’exécution du marché mis en soumission le 16 septembre 2022 « 5 personnes hautement qualifiées auxquelles s’ajout(ai)ent 20 personnes émanant des fabricants de containers, machines et tableaux de commandes et réservoirs de carburant, d’une part, et des sous-traitants pour la grue, manutention et transport, d’autre part ». Ces 25 personnes dépassaient les attentes qu’exprimaient les effectifs minimums de la p. 14 du CC. En le niant, après que son</w:t>
      </w:r>
    </w:p>
    <w:p>
      <w:r>
        <w:t>- 9 - mandataire technique eut questionné la recourante sur des éléments techniques et de fond de son offre, le Conseil d’Etat aurait adopté « un comportement ambigu et contraire à la loi à la bonne foi », car de pareilles informations complémentaires ne sont habituellement recueillies qu’auprès de soumissionnaires dont l’adjudicateur sait qu’ils correspondent à ses critères d’aptitude.</w:t>
      </w:r>
    </w:p>
    <w:p>
      <w:r>
        <w:rPr>
          <w:b/>
        </w:rPr>
        <w:t>E. 10</w:t>
      </w:r>
    </w:p>
    <w:p>
      <w:r>
        <w:t>La recourante ne peut être crue quand elle affirme avoir ignoré avant le 24 janvier 2023 que le premier critère d’aptitude s’appliquerait prioritairement en fonction d’une appréciation globale de la structure du personnel de son entreprise, ou que l’écart entre le nombre de ses collaborateurs diplômés, contremaîtres, chefs d’équipe, ouvriers spécialisés et les chiffres minimaux que l’adjudicateur avait à l’esprit aurait un rôle décisif à cet égard. La p. 14 du CC était suffisamment claire pour que ce fait retienne l’attention d’un offreur expérimenté, à qui ne pouvait non plus échapper la différence entre un critère d’aptitude formulé de cette façon et les conditions où lui-même exerçait couramment son activité de fournisseur et d’intégrateur dans le domaine de la planification, de l’installation etc. de groupes de secours. Partant, X _________ savait que si son offre parlait de 2 ouvriers spécialisés, alors que le CC en exigeait 9, elle se heurterait à un critère d’aptitude et serait exclue en vertu de l’art. 23 al. 1 lit. A Omp (cons. 6). Cette conséquence étant évidente, la recourante devait attaquer l’appel d’offres (art. 15bis AIMP ; art. 16 LcAIMP) ; elle ne peut le contester après coup, comme elle le tente en arguant qu’il ne correspondait pas à une pratique usuelle de la branche (art. 80 al. 1 lit. a et 44 al. 2 LPJA ; cf. cons. 7).</w:t>
      </w:r>
    </w:p>
    <w:p>
      <w:r>
        <w:rPr>
          <w:b/>
        </w:rPr>
        <w:t>E. 11</w:t>
      </w:r>
    </w:p>
    <w:p>
      <w:r>
        <w:t>Cela étant, on ne s’attarde ni sur les explications du 7 mars 2023 du SIP (p. 2 ss) à propos des effectifs d’employés que la p. 14 du CC mentionnait à titre de minimums, ni sur les griefs que la recourante développe à leur encontre dans son mémoire du 6 avril 2023 (p. 3 ss).</w:t>
      </w:r>
    </w:p>
    <w:p>
      <w:r>
        <w:rPr>
          <w:b/>
        </w:rPr>
        <w:t>E. 12</w:t>
      </w:r>
    </w:p>
    <w:p>
      <w:r>
        <w:t>Les renseignements que le mandataire technique de l’adjudicateur a demandés à la recourante avant la décision du Conseil d’Etat du 25 janvier 2023 l’ont été au stade du contrôle des offres où des spécialistes extérieurs peuvent être consultés (cf. art. 19 al. 1 Omp), sans que leur opinion lie l’adjudicateur quand il statue sur l’issue de la procédure, p. ex. en l’interrompant.</w:t>
      </w:r>
    </w:p>
    <w:p>
      <w:r>
        <w:rPr>
          <w:b/>
        </w:rPr>
        <w:t>E. 13</w:t>
      </w:r>
    </w:p>
    <w:p>
      <w:r>
        <w:t>En tant qu’il est recevable, le recours A1 23 26 est rejeté au vu de ce qui précède (art. 80 al. 1 lit. e et 60 al. 1 LPJA).</w:t>
      </w:r>
    </w:p>
    <w:p>
      <w:r>
        <w:rPr>
          <w:b/>
        </w:rPr>
        <w:t>E. 14</w:t>
      </w:r>
    </w:p>
    <w:p>
      <w:r>
        <w:t>Le recours A1 23 37 n’est pas mieux fondé.</w:t>
      </w:r>
    </w:p>
    <w:p>
      <w:r>
        <w:t>- 10 - Le mémoire du 23 février 2023 qui l’introduisait s’appuyait uniquement sur l’effet suspensif préprovisionnel du recours A1 23 26 pour conclure à l’appel d’offres du</w:t>
      </w:r>
    </w:p>
    <w:p>
      <w:r>
        <w:rPr>
          <w:b/>
        </w:rPr>
        <w:t>E. 17</w:t>
      </w:r>
    </w:p>
    <w:p>
      <w:r>
        <w:t>février 2023. Or, comme l’a jugé la Cour de droit public dans sa décision incidente du 14 mars 2023, ce (nouvel) appel d’offres était antérieur à la notification au Conseil d’Etat de la mesure préprovisionnelle du 15 février 2023 relative à cet effet suspensif, de sorte que le moyen soulevé à ce sujet tombe à faux. La recourante n’a développé aucun autre grief pertinent (art. 72, 80 al. 1 lit. c, 48 al. 2 LPJA) dans ses remarques additionnelles du 4 avril 2023 qui se sont concentrées sur une démonstration de la prétendue illégalité de l’interruption de procédure décidée en Conseil d’Etat le 25 janvier 2023, autrement dit de la décision critiquée par le recours A1 23 26 examiné plus haut. 15. X _________ SA paiera un émolument de justice de 2500 fr. fixé, débours inclus, en application des paramètres usuels de la couverture des frais et de l’équivalence des prestations, de la valeur du marché litigieux, etc. ; les dépens lui sont refusés (art. 89 al. 1, 91 al. 1 et 3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